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84" w:rsidRPr="000D15E6" w:rsidRDefault="0070574A" w:rsidP="007057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Pr="007057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6019" cy="8745611"/>
            <wp:effectExtent l="0" t="635" r="0" b="0"/>
            <wp:docPr id="9" name="Рисунок 9" descr="C:\Users\Admin\Desktop\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4859" cy="87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3184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74A" w:rsidRDefault="0070574A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C14" w:rsidRPr="000D15E6" w:rsidRDefault="007D3184" w:rsidP="00761145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74D69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057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74D69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C14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374D69" w:rsidRPr="00EF2586" w:rsidRDefault="00374D69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15E6">
        <w:t xml:space="preserve">      </w:t>
      </w:r>
      <w:r w:rsidRPr="00EF2586">
        <w:rPr>
          <w:rFonts w:ascii="Times New Roman" w:hAnsi="Times New Roman" w:cs="Times New Roman"/>
          <w:sz w:val="24"/>
          <w:szCs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) 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22.09. 2011 №2357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>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 w:rsidRPr="00EF258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F2586">
        <w:rPr>
          <w:rFonts w:ascii="Times New Roman" w:hAnsi="Times New Roman" w:cs="Times New Roman"/>
          <w:sz w:val="24"/>
          <w:szCs w:val="24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деятельности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позволяет создать условия: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lastRenderedPageBreak/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е лаборатории  во внеурочной деятельности по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биологии, учащиеся смогут выполнить множество лабораторных работ и экспериме</w:t>
      </w:r>
      <w:r w:rsidR="000D5A17" w:rsidRPr="00EF2586">
        <w:rPr>
          <w:rFonts w:ascii="Times New Roman" w:hAnsi="Times New Roman" w:cs="Times New Roman"/>
          <w:sz w:val="24"/>
          <w:szCs w:val="24"/>
        </w:rPr>
        <w:t>нтов</w:t>
      </w:r>
      <w:r w:rsidRPr="00EF2586">
        <w:rPr>
          <w:rFonts w:ascii="Times New Roman" w:hAnsi="Times New Roman" w:cs="Times New Roman"/>
          <w:sz w:val="24"/>
          <w:szCs w:val="24"/>
        </w:rPr>
        <w:t>.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строится на основе следующих принципов: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равенство всех участников;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761145" w:rsidRPr="000D15E6" w:rsidRDefault="00F47AEC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2 - учет возрастных и индивидуальных особенностей. </w:t>
      </w:r>
      <w:r w:rsidR="00761145"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EC" w:rsidRPr="000D15E6" w:rsidRDefault="00F47AEC" w:rsidP="00F47AEC">
      <w:pPr>
        <w:rPr>
          <w:rFonts w:ascii="Times New Roman" w:hAnsi="Times New Roman" w:cs="Times New Roman"/>
          <w:b/>
        </w:rPr>
      </w:pPr>
      <w:proofErr w:type="spellStart"/>
      <w:r w:rsidRPr="000D15E6">
        <w:rPr>
          <w:rFonts w:ascii="Times New Roman" w:hAnsi="Times New Roman" w:cs="Times New Roman"/>
          <w:b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</w:rPr>
        <w:t xml:space="preserve"> связи.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наиболее эффективные способы достижения результата;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345532" w:rsidRPr="000D15E6" w:rsidRDefault="00F47AEC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внеурочной деятельности.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0D15E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47AEC" w:rsidRPr="000D15E6"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</w:t>
      </w:r>
      <w:r w:rsidR="00EF2586">
        <w:rPr>
          <w:rFonts w:ascii="Times New Roman" w:hAnsi="Times New Roman" w:cs="Times New Roman"/>
          <w:sz w:val="24"/>
          <w:szCs w:val="24"/>
        </w:rPr>
        <w:t>-</w:t>
      </w:r>
      <w:r w:rsidR="00F47AEC" w:rsidRPr="000D15E6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0D15E6" w:rsidRDefault="00F47AEC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 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вовлечения их в творческую деятельность. </w:t>
      </w:r>
    </w:p>
    <w:p w:rsidR="00F424C6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направленность</w:t>
      </w:r>
      <w:r w:rsidRPr="000D15E6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0D15E6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24C6" w:rsidRPr="000D15E6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0D15E6">
        <w:rPr>
          <w:rFonts w:ascii="Times New Roman" w:hAnsi="Times New Roman" w:cs="Times New Roman"/>
          <w:sz w:val="24"/>
          <w:szCs w:val="24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0D15E6">
        <w:rPr>
          <w:rFonts w:ascii="Times New Roman" w:hAnsi="Times New Roman" w:cs="Times New Roman"/>
          <w:b/>
          <w:sz w:val="24"/>
          <w:szCs w:val="24"/>
        </w:rPr>
        <w:tab/>
      </w:r>
    </w:p>
    <w:p w:rsidR="00C71C14" w:rsidRPr="000D15E6" w:rsidRDefault="00345532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рассчитана на 1 год  обучения (34 часа  в год, 1 час в неделю</w:t>
      </w:r>
      <w:r w:rsidR="00F47AEC" w:rsidRPr="000D15E6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:rsidR="00F424C6" w:rsidRDefault="00F424C6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4A" w:rsidRPr="000D15E6" w:rsidRDefault="0070574A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0D15E6" w:rsidRDefault="00FC25C8" w:rsidP="00FC25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C6" w:rsidRPr="000D15E6" w:rsidRDefault="00F424C6" w:rsidP="00F424C6">
      <w:pPr>
        <w:pStyle w:val="a7"/>
        <w:shd w:val="clear" w:color="auto" w:fill="FFFFFF"/>
        <w:spacing w:before="0" w:beforeAutospacing="0" w:after="150" w:afterAutospacing="0"/>
        <w:jc w:val="center"/>
      </w:pPr>
      <w:r w:rsidRPr="000D15E6">
        <w:rPr>
          <w:b/>
          <w:bCs/>
          <w:lang w:val="en-US"/>
        </w:rPr>
        <w:t>II</w:t>
      </w:r>
      <w:r w:rsidRPr="000D15E6">
        <w:rPr>
          <w:b/>
          <w:bCs/>
        </w:rPr>
        <w:t>.</w:t>
      </w:r>
      <w:r w:rsidR="002B3426" w:rsidRPr="000D15E6">
        <w:rPr>
          <w:b/>
        </w:rPr>
        <w:t xml:space="preserve"> Результаты освоения курса внеурочной деятельности .</w:t>
      </w:r>
      <w:r w:rsidRPr="000D15E6">
        <w:rPr>
          <w:b/>
          <w:bCs/>
        </w:rPr>
        <w:t>Планируемые результаты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животных и птиц в природе, на картинках, по описанию;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C71C14" w:rsidRPr="000D15E6" w:rsidRDefault="004E1290" w:rsidP="002B342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C71C14" w:rsidRDefault="00C71C14" w:rsidP="00C71C14">
      <w:pPr>
        <w:pStyle w:val="a7"/>
        <w:shd w:val="clear" w:color="auto" w:fill="FFFFFF"/>
        <w:spacing w:before="0" w:beforeAutospacing="0" w:after="150" w:afterAutospacing="0"/>
      </w:pPr>
    </w:p>
    <w:p w:rsidR="0070574A" w:rsidRPr="000D15E6" w:rsidRDefault="0070574A" w:rsidP="00C71C14">
      <w:pPr>
        <w:pStyle w:val="a7"/>
        <w:shd w:val="clear" w:color="auto" w:fill="FFFFFF"/>
        <w:spacing w:before="0" w:beforeAutospacing="0" w:after="150" w:afterAutospacing="0"/>
      </w:pPr>
    </w:p>
    <w:p w:rsidR="00C71C14" w:rsidRPr="000D15E6" w:rsidRDefault="00FC25C8" w:rsidP="00FC2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(3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</w:t>
      </w:r>
      <w:r w:rsidR="00C010F6" w:rsidRPr="000D15E6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0D15E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2E41" w:rsidRPr="000D15E6" w:rsidRDefault="00222E41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EB7743" w:rsidRDefault="00C010F6" w:rsidP="00D43BB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FC25C8" w:rsidRPr="00EB7743" w:rsidRDefault="00EB7743" w:rsidP="00EB774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C25C8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0D15E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B7743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Техника приготовления временного микропрепарата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Клетки, ткани и органы растений. Отличительные признаки живых организмов.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Микромир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2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Лабораторный 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5E6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«Части клетки и их назначение».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41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</w:t>
      </w:r>
      <w:r w:rsidR="00EB7743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0D15E6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EB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3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Дыхание  и обмен веществ у растений.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Изучение механизмов испарения воды листьями.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Испарение воды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BAD" w:rsidRPr="001A60D4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Тургор в жизни растений.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Воздушное питание растений — фотосинтез.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Кутикула.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Условия прорастания семян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2E2007">
        <w:rPr>
          <w:rFonts w:ascii="Times New Roman" w:hAnsi="Times New Roman" w:cs="Times New Roman"/>
          <w:sz w:val="24"/>
          <w:szCs w:val="24"/>
        </w:rPr>
        <w:t>Деление клеток.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0D15E6">
        <w:rPr>
          <w:rFonts w:ascii="Times New Roman" w:hAnsi="Times New Roman" w:cs="Times New Roman"/>
          <w:sz w:val="24"/>
          <w:szCs w:val="24"/>
        </w:rPr>
        <w:t>Растения. Многообразие растений. Значение растений в природе и жизни человека</w:t>
      </w:r>
      <w:r w:rsidR="001A60D4">
        <w:rPr>
          <w:rFonts w:ascii="Times New Roman" w:hAnsi="Times New Roman" w:cs="Times New Roman"/>
          <w:sz w:val="24"/>
          <w:szCs w:val="24"/>
        </w:rPr>
        <w:t xml:space="preserve">. </w:t>
      </w:r>
      <w:r w:rsidR="001A60D4" w:rsidRPr="000D15E6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</w:t>
      </w:r>
    </w:p>
    <w:p w:rsidR="00A562A7" w:rsidRDefault="00866BAD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  <w:r w:rsidR="00A562A7" w:rsidRPr="000D15E6">
        <w:rPr>
          <w:rFonts w:ascii="Times New Roman" w:hAnsi="Times New Roman" w:cs="Times New Roman"/>
          <w:sz w:val="24"/>
          <w:szCs w:val="24"/>
        </w:rPr>
        <w:t>Лабораторная работа № 6 «Зависимость транспирации и температуры от площади поверхности листьев»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A562A7" w:rsidRPr="000D15E6">
        <w:rPr>
          <w:rFonts w:ascii="Times New Roman" w:hAnsi="Times New Roman" w:cs="Times New Roman"/>
          <w:sz w:val="24"/>
          <w:szCs w:val="24"/>
        </w:rPr>
        <w:t xml:space="preserve">  Лабораторная работа №7 «Испарение в</w:t>
      </w:r>
      <w:r w:rsidR="00A562A7">
        <w:rPr>
          <w:rFonts w:ascii="Times New Roman" w:hAnsi="Times New Roman" w:cs="Times New Roman"/>
          <w:sz w:val="24"/>
          <w:szCs w:val="24"/>
        </w:rPr>
        <w:t>оды листьями до и после полива»</w:t>
      </w:r>
      <w:r w:rsidR="00A562A7" w:rsidRPr="000D15E6">
        <w:rPr>
          <w:rFonts w:ascii="Times New Roman" w:hAnsi="Times New Roman" w:cs="Times New Roman"/>
          <w:sz w:val="24"/>
          <w:szCs w:val="24"/>
        </w:rPr>
        <w:t>.</w:t>
      </w:r>
    </w:p>
    <w:p w:rsidR="00A562A7" w:rsidRDefault="00A562A7" w:rsidP="00A56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 8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состояние клеток.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sz w:val="24"/>
          <w:szCs w:val="24"/>
        </w:rPr>
        <w:t>«Фотосинтез».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10 «Значение кутикулы и пробки в защите растений от испарения».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0D15E6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E41" w:rsidRPr="001A60D4" w:rsidRDefault="00A562A7" w:rsidP="001A6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00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2007">
        <w:rPr>
          <w:rFonts w:ascii="Times New Roman" w:hAnsi="Times New Roman" w:cs="Times New Roman"/>
          <w:sz w:val="24"/>
          <w:szCs w:val="24"/>
        </w:rPr>
        <w:t>«Наблюдение фаз митоза в клетках растений</w:t>
      </w:r>
      <w:proofErr w:type="gramStart"/>
      <w:r w:rsidRPr="002E2007">
        <w:rPr>
          <w:rFonts w:ascii="Times New Roman" w:hAnsi="Times New Roman" w:cs="Times New Roman"/>
          <w:sz w:val="24"/>
          <w:szCs w:val="24"/>
        </w:rPr>
        <w:t>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 xml:space="preserve">№ 13 </w:t>
      </w:r>
      <w:r w:rsidRPr="000D15E6">
        <w:rPr>
          <w:rFonts w:ascii="Times New Roman" w:hAnsi="Times New Roman" w:cs="Times New Roman"/>
          <w:sz w:val="24"/>
          <w:szCs w:val="24"/>
        </w:rPr>
        <w:t>«Обнаружение хлоропластов в клетках растений»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0D15E6">
        <w:rPr>
          <w:rFonts w:ascii="Times New Roman" w:hAnsi="Times New Roman" w:cs="Times New Roman"/>
          <w:sz w:val="24"/>
          <w:szCs w:val="24"/>
        </w:rPr>
        <w:t xml:space="preserve">«Обнаружение нитратов в листьях»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«Способы  вегетативного размножения растений».</w:t>
      </w:r>
    </w:p>
    <w:p w:rsidR="00222E41" w:rsidRPr="000D15E6" w:rsidRDefault="00A955F5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3</w:t>
      </w:r>
      <w:r w:rsidR="00CE6E31" w:rsidRPr="000D15E6">
        <w:rPr>
          <w:rFonts w:ascii="Times New Roman" w:hAnsi="Times New Roman" w:cs="Times New Roman"/>
          <w:b/>
          <w:sz w:val="24"/>
          <w:szCs w:val="24"/>
        </w:rPr>
        <w:t>. Зоология</w:t>
      </w:r>
      <w:r w:rsidR="00C247FD">
        <w:rPr>
          <w:rFonts w:ascii="Times New Roman" w:hAnsi="Times New Roman" w:cs="Times New Roman"/>
          <w:b/>
          <w:sz w:val="24"/>
          <w:szCs w:val="24"/>
        </w:rPr>
        <w:t>(7</w:t>
      </w:r>
      <w:r w:rsidR="00C247FD" w:rsidRPr="000D15E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01CE" w:rsidRPr="000D15E6" w:rsidRDefault="003E01CE" w:rsidP="003E0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Животные. Строение животных. Многообразие животных, их роль в природе и жизни человека.   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 xml:space="preserve">Простейшие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CE6E31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Тип кольчатые черви. Внутреннее строение дождевого червя.</w:t>
      </w:r>
      <w:r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 «Птицы на кормушке»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:rsidR="00A955F5" w:rsidRDefault="00FC25C8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3E01CE">
        <w:rPr>
          <w:rFonts w:ascii="Times New Roman" w:hAnsi="Times New Roman" w:cs="Times New Roman"/>
          <w:sz w:val="24"/>
          <w:szCs w:val="24"/>
        </w:rPr>
        <w:t xml:space="preserve">работа «Классификация </w:t>
      </w:r>
      <w:proofErr w:type="gramStart"/>
      <w:r w:rsidR="003E01CE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Отличительные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признаки животных разных царств и систематических групп. </w:t>
      </w:r>
      <w:r w:rsid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3E01CE">
        <w:rPr>
          <w:rFonts w:ascii="Times New Roman" w:hAnsi="Times New Roman" w:cs="Times New Roman"/>
          <w:sz w:val="24"/>
          <w:szCs w:val="24"/>
        </w:rPr>
        <w:t xml:space="preserve">№ 15 </w:t>
      </w:r>
      <w:r w:rsidR="003E01CE" w:rsidRPr="000D15E6">
        <w:rPr>
          <w:rFonts w:ascii="Times New Roman" w:hAnsi="Times New Roman" w:cs="Times New Roman"/>
          <w:sz w:val="24"/>
          <w:szCs w:val="24"/>
        </w:rPr>
        <w:t>«Сравнительная характеристика одноклеточных организмов</w:t>
      </w:r>
      <w:proofErr w:type="gramStart"/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 w:rsidRP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Лабораторная</w:t>
      </w:r>
      <w:proofErr w:type="gramEnd"/>
      <w:r w:rsid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работа №</w:t>
      </w:r>
      <w:r w:rsidR="003E01CE">
        <w:rPr>
          <w:rFonts w:ascii="Times New Roman" w:hAnsi="Times New Roman" w:cs="Times New Roman"/>
          <w:sz w:val="24"/>
          <w:szCs w:val="24"/>
        </w:rPr>
        <w:t xml:space="preserve"> 16 </w:t>
      </w:r>
      <w:r w:rsidR="003E01CE" w:rsidRPr="000D15E6">
        <w:rPr>
          <w:rFonts w:ascii="Times New Roman" w:hAnsi="Times New Roman" w:cs="Times New Roman"/>
          <w:sz w:val="24"/>
          <w:szCs w:val="24"/>
        </w:rPr>
        <w:t>«Наблюдение за передвижением животных»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="003E01CE"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C247FD" w:rsidRPr="00C247FD" w:rsidRDefault="00C247FD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7FD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:rsidR="00C247FD" w:rsidRDefault="00FC25C8" w:rsidP="00A95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0D15E6">
        <w:rPr>
          <w:rFonts w:ascii="Times New Roman" w:hAnsi="Times New Roman" w:cs="Times New Roman"/>
          <w:sz w:val="24"/>
          <w:szCs w:val="24"/>
        </w:rPr>
        <w:t>: М</w:t>
      </w:r>
      <w:r w:rsidR="00A955F5" w:rsidRPr="000D15E6">
        <w:rPr>
          <w:rFonts w:ascii="Times New Roman" w:hAnsi="Times New Roman" w:cs="Times New Roman"/>
          <w:sz w:val="24"/>
          <w:szCs w:val="24"/>
        </w:rPr>
        <w:t xml:space="preserve">одуль «Экологический </w:t>
      </w:r>
      <w:proofErr w:type="gramStart"/>
      <w:r w:rsidR="00A955F5" w:rsidRPr="000D15E6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="00A955F5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C247FD">
        <w:rPr>
          <w:rFonts w:ascii="Times New Roman" w:hAnsi="Times New Roman" w:cs="Times New Roman"/>
          <w:sz w:val="24"/>
          <w:szCs w:val="24"/>
        </w:rPr>
        <w:t>«</w:t>
      </w:r>
      <w:r w:rsidR="00C247FD" w:rsidRPr="000D15E6">
        <w:rPr>
          <w:rFonts w:ascii="Times New Roman" w:hAnsi="Times New Roman" w:cs="Times New Roman"/>
          <w:sz w:val="24"/>
          <w:szCs w:val="24"/>
        </w:rPr>
        <w:t>Влияние абиотических факторов на организмы»</w:t>
      </w:r>
      <w:r w:rsidR="00C247FD">
        <w:rPr>
          <w:rFonts w:ascii="Times New Roman" w:hAnsi="Times New Roman" w:cs="Times New Roman"/>
          <w:sz w:val="24"/>
          <w:szCs w:val="24"/>
        </w:rPr>
        <w:t>.</w:t>
      </w:r>
    </w:p>
    <w:p w:rsidR="002B3426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5F5" w:rsidRPr="000D15E6">
        <w:rPr>
          <w:rFonts w:ascii="Times New Roman" w:hAnsi="Times New Roman" w:cs="Times New Roman"/>
          <w:sz w:val="24"/>
          <w:szCs w:val="24"/>
        </w:rPr>
        <w:t>« Определение</w:t>
      </w:r>
      <w:proofErr w:type="gramEnd"/>
      <w:r w:rsidR="00A955F5" w:rsidRPr="000D15E6">
        <w:rPr>
          <w:rFonts w:ascii="Times New Roman" w:hAnsi="Times New Roman" w:cs="Times New Roman"/>
          <w:sz w:val="24"/>
          <w:szCs w:val="24"/>
        </w:rPr>
        <w:t xml:space="preserve"> запыленности воздуха в помещениях</w:t>
      </w:r>
      <w:r w:rsidR="00A955F5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="00866BAD" w:rsidRPr="000D15E6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C010F6" w:rsidP="00C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14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9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984"/>
        <w:gridCol w:w="2411"/>
        <w:gridCol w:w="2976"/>
        <w:gridCol w:w="3095"/>
        <w:gridCol w:w="732"/>
        <w:gridCol w:w="15"/>
        <w:gridCol w:w="978"/>
        <w:gridCol w:w="15"/>
      </w:tblGrid>
      <w:tr w:rsidR="00745412" w:rsidRPr="00433873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11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2976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на внеурочном занятии</w:t>
            </w:r>
          </w:p>
        </w:tc>
        <w:tc>
          <w:tcPr>
            <w:tcW w:w="3095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  <w:tc>
          <w:tcPr>
            <w:tcW w:w="732" w:type="dxa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gridSpan w:val="2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45412" w:rsidRPr="00433873" w:rsidTr="0070574A"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7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</w:t>
            </w:r>
            <w:proofErr w:type="gramEnd"/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3часа)</w:t>
            </w:r>
          </w:p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45412" w:rsidRPr="00433873" w:rsidRDefault="00745412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 техника безопасности при выполнении лабораторных,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 Ознакомление с оборудованием центра «Точка роста».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«Лабораторное оборудование и приборы для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формируется и развивается изобретательское, креативное и критическое мышление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оммуникативные – обеспечивающие социальную компетентность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 логические, связанные с решением проблемы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егулятивные – обеспечивающие организацию собственной деятельности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ичностные – определяющие мотивационную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Фотоиллюстрации, компьютер, принтер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7"/>
          </w:tcPr>
          <w:p w:rsidR="00745412" w:rsidRPr="000D15E6" w:rsidRDefault="00745412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Лаборатория Левенгука </w:t>
            </w:r>
            <w:proofErr w:type="gramStart"/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45412" w:rsidRPr="000D15E6" w:rsidRDefault="00745412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цифровой, лупа.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увеличением  микроскопа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презентация. Схемы.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приготовления временного микропрепарата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накомить с многообразием микроскопов, устройством и правилами работы с ними (на примере цифрового микроскопа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изготовления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Интерактивный  комплекс, световой,  цифровой микроскоп, репчатый лук, пинцет,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иглы, стекла предметные, стаканчики с водой, пипетки, фильтровальная бумага,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№4«Ткани растительного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микропрепараты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 вокруг нас»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исследования различных объектов при помощи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микроскопа .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микроорганизмах, выяснить какую роль микромир играет для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разновидности микроорганизмов;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вред,если</w:t>
            </w:r>
            <w:proofErr w:type="spellEnd"/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провести опрос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Микроскоп цифровой,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спирт, вода, йод и пищевой краситель для окрашиваний, чашка Петри (плоская баночка из стекла с крышкой), но для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каждого исследования просто необходимы: предметное и покровное стекло, пинцет, пипетка, тонкая игла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ит.д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7"/>
          </w:tcPr>
          <w:p w:rsidR="00745412" w:rsidRPr="000D15E6" w:rsidRDefault="00745412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2.Биология растений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у растений. 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5 «Дыхание листьев»,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процесса дыхания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 растении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своему здоровью, привитие интереса к изучению предмета. Выполнять опыт, наблюдать результаты и делать выводы по результатам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программой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датчики кислорода и углекислого газа, 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«Зависимость транспирации и температуры от площади поверхности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745412" w:rsidRPr="000D15E6" w:rsidRDefault="00745412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зависимость транспирации и температуры от площади поверхности листьев. 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 измерительный Интерфейс 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зависимость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:rsidR="00745412" w:rsidRPr="000D15E6" w:rsidRDefault="00745412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процесса фотосинтеза и его значения для жизни на Земле.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планете Выполнять наблюдения и измерения.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экологии (датчик углекислого газа и кислорода).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 значение имеют кутикула и пробка в испарении воды растением.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Цифровая лаборатория по экологии (датчик освещенности, влажности и температуры).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19" w:type="dxa"/>
          </w:tcPr>
          <w:p w:rsidR="00745412" w:rsidRPr="002E2007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1984" w:type="dxa"/>
          </w:tcPr>
          <w:p w:rsidR="00745412" w:rsidRPr="002E2007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2411" w:type="dxa"/>
          </w:tcPr>
          <w:p w:rsidR="00745412" w:rsidRPr="002E2007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Рассмотрение микропрепаратов с делящимися клетками растения.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поведение хромосом во время фаз митоза</w:t>
            </w:r>
          </w:p>
        </w:tc>
        <w:tc>
          <w:tcPr>
            <w:tcW w:w="2976" w:type="dxa"/>
          </w:tcPr>
          <w:p w:rsidR="00745412" w:rsidRPr="002E2007" w:rsidRDefault="00745412" w:rsidP="001A76E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2007">
              <w:rPr>
                <w:color w:val="00000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>
              <w:rPr>
                <w:color w:val="000000"/>
              </w:rPr>
              <w:t xml:space="preserve"> </w:t>
            </w:r>
            <w:r w:rsidRPr="002E2007">
              <w:rPr>
                <w:color w:val="000000"/>
              </w:rPr>
              <w:t xml:space="preserve">развивающая – способствовать формированию навыков работы с микроскопом;- </w:t>
            </w:r>
            <w:r w:rsidRPr="002E2007">
              <w:rPr>
                <w:color w:val="000000"/>
              </w:rPr>
              <w:lastRenderedPageBreak/>
              <w:t>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>
              <w:rPr>
                <w:color w:val="000000"/>
              </w:rPr>
              <w:t>.</w:t>
            </w:r>
          </w:p>
          <w:p w:rsidR="00745412" w:rsidRPr="002E2007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2E2007" w:rsidRDefault="00745412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покровные 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стекла, </w:t>
            </w:r>
            <w:proofErr w:type="spellStart"/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человекаУмение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лабораторным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оборудованием, увеличительными приборами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«Обнаружение нитратов в листьях» 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1984" w:type="dxa"/>
          </w:tcPr>
          <w:p w:rsidR="00745412" w:rsidRPr="001A76E5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2411" w:type="dxa"/>
          </w:tcPr>
          <w:p w:rsidR="00745412" w:rsidRPr="001A76E5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2976" w:type="dxa"/>
          </w:tcPr>
          <w:p w:rsidR="00745412" w:rsidRPr="001A76E5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</w:t>
            </w:r>
            <w:r w:rsidRPr="001A76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3095" w:type="dxa"/>
          </w:tcPr>
          <w:p w:rsidR="00745412" w:rsidRPr="001A76E5" w:rsidRDefault="00745412" w:rsidP="001A76E5">
            <w:pPr>
              <w:pStyle w:val="a7"/>
              <w:shd w:val="clear" w:color="auto" w:fill="FFFFFF"/>
              <w:rPr>
                <w:color w:val="000000"/>
              </w:rPr>
            </w:pPr>
            <w:r w:rsidRPr="001A76E5">
              <w:t>С</w:t>
            </w:r>
            <w:r w:rsidRPr="001A76E5">
              <w:rPr>
                <w:color w:val="000000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1A76E5">
              <w:rPr>
                <w:b/>
                <w:bCs/>
                <w:color w:val="000000"/>
              </w:rPr>
              <w:t> </w:t>
            </w:r>
            <w:proofErr w:type="spellStart"/>
            <w:r w:rsidRPr="001A76E5">
              <w:rPr>
                <w:color w:val="000000"/>
              </w:rPr>
              <w:t>видеоурок</w:t>
            </w:r>
            <w:proofErr w:type="spellEnd"/>
            <w:r w:rsidRPr="001A76E5">
              <w:rPr>
                <w:color w:val="000000"/>
              </w:rPr>
              <w:t xml:space="preserve"> и таблица «Вегетативное размножение».</w:t>
            </w:r>
          </w:p>
          <w:p w:rsidR="00745412" w:rsidRPr="001A76E5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7"/>
          </w:tcPr>
          <w:p w:rsidR="00745412" w:rsidRPr="004D0B25" w:rsidRDefault="00745412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745412" w:rsidRPr="002E2007" w:rsidRDefault="00745412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Животные. Строение животных. Многообразие животных, их роль в природе и жизни человека.    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 приборами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Готовить микропрепарат культуры амеб. Обнаружение одноклеточных животных (простейших) в водной среде с использованием цифрового микроскопа.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таблицы и плакаты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  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Лабораторная работа «Сравнительная характеристика одноклеточных организмов»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строения и жизнедеятельности простейших (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 характерные 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при- знаки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подцарства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Простей-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или Одноклеточные,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Саркодовые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жгутико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представите- лей класса Саркодовые на микропрепаратах, рисунках, фотографиях.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организма на примере амёбы-про-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Обосновывать роль простей-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экосистемах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работать с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лабора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торным оборудованием, увеличительными приборами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Готовить 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микро- препарат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инфузорий. Изучать живые организмы под микроскопом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 о 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начении движения для животных.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Фиксировать результаты 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 в 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Соблюдать правила работы в кабинете, обращения с 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рным оборудованием.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тронные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 и плакаты.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- кой организации кольчатых 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кру-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глыми.Распознавать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арактеризовать черты ус-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ложнения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 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органов.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инокулярный микроскоп, препарат поперечный срез дождевого червя, препарат поперечный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«Птицы на кормушке» 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орнитология. Работа в группах: исследование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«Птицы на кормушке». 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7"/>
          </w:tcPr>
          <w:p w:rsidR="00745412" w:rsidRPr="004D0B25" w:rsidRDefault="00745412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745412" w:rsidRPr="00433873" w:rsidRDefault="00745412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9" w:type="dxa"/>
          </w:tcPr>
          <w:p w:rsidR="00745412" w:rsidRPr="000D15E6" w:rsidRDefault="00745412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45412" w:rsidRPr="000D15E6" w:rsidRDefault="00745412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2" w:rsidRPr="000D15E6" w:rsidTr="0070574A">
        <w:trPr>
          <w:gridAfter w:val="1"/>
          <w:wAfter w:w="15" w:type="dxa"/>
        </w:trPr>
        <w:tc>
          <w:tcPr>
            <w:tcW w:w="67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1984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«Измерение влажности и температуры в 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5412" w:rsidRPr="000D15E6" w:rsidRDefault="00745412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2976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исследование температуры и влажности воздуха в классе и около растения. Какую роль играют зелёные насаждения в городе? </w:t>
            </w:r>
          </w:p>
        </w:tc>
        <w:tc>
          <w:tcPr>
            <w:tcW w:w="3095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732" w:type="dxa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745412" w:rsidRPr="000D15E6" w:rsidRDefault="0074541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Default="00E745CF" w:rsidP="00A5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C4B" w:rsidRPr="00A53791" w:rsidRDefault="00A84C4B" w:rsidP="007D3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C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CF" w:rsidRPr="000D15E6" w:rsidRDefault="00745412" w:rsidP="00A5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53791" w:rsidRPr="00A53791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745CF" w:rsidRPr="000D15E6" w:rsidRDefault="00C010F6" w:rsidP="00A53791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</w:t>
      </w: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3397" w:rsidRPr="00A53791" w:rsidRDefault="00063397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7D5959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10" w:history="1">
        <w:r w:rsidRPr="00A53791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>биологии.</w:t>
      </w:r>
    </w:p>
    <w:p w:rsidR="00E745CF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4</w:t>
      </w:r>
      <w:r w:rsidR="00C010F6" w:rsidRPr="00A53791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p w:rsidR="007D3184" w:rsidRPr="000D15E6" w:rsidRDefault="007D5959" w:rsidP="007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45" w:rsidRPr="000D15E6" w:rsidRDefault="007D5959" w:rsidP="001D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445" w:rsidRPr="000D15E6" w:rsidSect="0070574A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4"/>
    <w:rsid w:val="00050445"/>
    <w:rsid w:val="00063397"/>
    <w:rsid w:val="000B4C08"/>
    <w:rsid w:val="000D15E6"/>
    <w:rsid w:val="000D5A17"/>
    <w:rsid w:val="001433CF"/>
    <w:rsid w:val="001A60D4"/>
    <w:rsid w:val="001A76E5"/>
    <w:rsid w:val="001B6E0F"/>
    <w:rsid w:val="001D507E"/>
    <w:rsid w:val="001F35CD"/>
    <w:rsid w:val="0020481E"/>
    <w:rsid w:val="0021013F"/>
    <w:rsid w:val="00220E8D"/>
    <w:rsid w:val="00222E41"/>
    <w:rsid w:val="0027231C"/>
    <w:rsid w:val="002B1215"/>
    <w:rsid w:val="002B3426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33873"/>
    <w:rsid w:val="004473E3"/>
    <w:rsid w:val="004C67A0"/>
    <w:rsid w:val="004D0B25"/>
    <w:rsid w:val="004E1290"/>
    <w:rsid w:val="004E1FC2"/>
    <w:rsid w:val="00534253"/>
    <w:rsid w:val="00556454"/>
    <w:rsid w:val="00560527"/>
    <w:rsid w:val="005636A8"/>
    <w:rsid w:val="006758B6"/>
    <w:rsid w:val="00693336"/>
    <w:rsid w:val="006B67B9"/>
    <w:rsid w:val="0070574A"/>
    <w:rsid w:val="00740EB9"/>
    <w:rsid w:val="00745412"/>
    <w:rsid w:val="00761145"/>
    <w:rsid w:val="007D1470"/>
    <w:rsid w:val="007D3184"/>
    <w:rsid w:val="007D5959"/>
    <w:rsid w:val="007D7D7C"/>
    <w:rsid w:val="007F1C8D"/>
    <w:rsid w:val="00815296"/>
    <w:rsid w:val="00866BAD"/>
    <w:rsid w:val="008A5EC0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71827"/>
    <w:rsid w:val="00B71B97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D97817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836C"/>
  <w15:docId w15:val="{E67588ED-E1BB-4E1F-A0C2-65649E2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data.soiro.ru/eno/met_rec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resource/880/29880/files/ssu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11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B311-1F74-463E-9DD5-B623C699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Admin</cp:lastModifiedBy>
  <cp:revision>2</cp:revision>
  <cp:lastPrinted>2024-02-14T08:32:00Z</cp:lastPrinted>
  <dcterms:created xsi:type="dcterms:W3CDTF">2024-02-14T08:39:00Z</dcterms:created>
  <dcterms:modified xsi:type="dcterms:W3CDTF">2024-02-14T08:39:00Z</dcterms:modified>
</cp:coreProperties>
</file>